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sz w:val="72"/>
          <w:szCs w:val="72"/>
        </w:rPr>
      </w:pPr>
      <w:bookmarkStart w:colFirst="0" w:colLast="0" w:name="_otlct02dmag8" w:id="0"/>
      <w:bookmarkEnd w:id="0"/>
      <w:r w:rsidDel="00000000" w:rsidR="00000000" w:rsidRPr="00000000">
        <w:rPr>
          <w:sz w:val="72"/>
          <w:szCs w:val="72"/>
          <w:rtl w:val="0"/>
        </w:rPr>
        <w:t xml:space="preserve">ADHÉSION DES ASSOCIATIONS</w:t>
        <w:br w:type="textWrapping"/>
        <w:t xml:space="preserve">ET PERSONNES MORALES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Conformément à l’article 6 des statuts et l’article 3 du règlement intérieur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, les adhésions des associations et personnes morales sont soumises à la délibération du Conseil d’administration.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Pour éclairer leur délibération, les membres du CA demandent les pièces suivantes 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  <w:t xml:space="preserve">les statuts 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  <w:t xml:space="preserve">Un rapport d’activité ou un projet d'orientation 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  <w:t xml:space="preserve">le positionnement par rapport aux revendications d’Iskis.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  <w:t xml:space="preserve">Une fois ces documents communiqués, le Conseil d’administration se réunira dans les meilleurs délais et vous communiquera sa décision.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rFonts w:ascii="Passion One" w:cs="Passion One" w:eastAsia="Passion One" w:hAnsi="Passion One"/>
        </w:rPr>
      </w:pPr>
      <w:bookmarkStart w:colFirst="0" w:colLast="0" w:name="_gbgui2wsebcu" w:id="1"/>
      <w:bookmarkEnd w:id="1"/>
      <w:r w:rsidDel="00000000" w:rsidR="00000000" w:rsidRPr="00000000">
        <w:rPr>
          <w:rtl w:val="0"/>
        </w:rPr>
        <w:t xml:space="preserve">REVENDICATIONS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/>
      </w:pPr>
      <w:bookmarkStart w:colFirst="0" w:colLast="0" w:name="_sbwmj3jxi0xf" w:id="2"/>
      <w:bookmarkEnd w:id="2"/>
      <w:r w:rsidDel="00000000" w:rsidR="00000000" w:rsidRPr="00000000">
        <w:rPr>
          <w:rtl w:val="0"/>
        </w:rPr>
        <w:t xml:space="preserve">Urgentes</w:t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Nos revendications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Votre position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  <w:t xml:space="preserve">L’arrêt des opérations et médications d’assignation des personnes intersexes jusqu’au libre choix de la personne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  <w:t xml:space="preserve">Une dépsychiatrisation effective de la transidentité incluant son retrait de la liste des maladies mentales dans les textes de référence ; la prise en charge des transitions comme états de santé non pathologiques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  <w:t xml:space="preserve">L’accès aux soins garanti pour toutes les personnes migrantes, sans délai de carence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  <w:t xml:space="preserve">De l’information, des campagnes régulières et pertinentes sur les IST et les différents moyens de prévention en direction des populations LGBTI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 engagement des pouvoirs publics pour prévenir le mal-être et le suicide des personnes LGBTI, les discriminations les atteignant ; l’interdiction des thérapies de conversion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spacing w:after="0" w:lineRule="auto"/>
        <w:rPr/>
      </w:pPr>
      <w:bookmarkStart w:colFirst="0" w:colLast="0" w:name="_u0dsgaih21h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o63qmlvx4bt" w:id="4"/>
      <w:bookmarkEnd w:id="4"/>
      <w:r w:rsidDel="00000000" w:rsidR="00000000" w:rsidRPr="00000000">
        <w:rPr>
          <w:rtl w:val="0"/>
        </w:rPr>
        <w:t xml:space="preserve">Familles</w:t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 revendications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Votre position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pleine reconnaissance du lien de filiation entre l’enfant et chacun de ses parents sociaux sans condition de mariage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fin des discriminations par les centres de conservation des gamètes envers les personnes transgenres ou intersexes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L’arrêt des discriminations à raison de l’orientation sexuelle ou de l’identité de genre dans les jugements d’adoption et de garde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 encadrement par la Loi de contrats éthiques de gestation pour autrui garantissant le respect des personnes gestatrices et des enfants à naître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L’ouverture de la PMA (Procréation Médicalement Assistée) à tou·te·s sans discriminations et dans les mêmes conditions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bookmarkStart w:colFirst="0" w:colLast="0" w:name="_x3zdrjy41a8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n34te6gzvzt" w:id="6"/>
      <w:bookmarkEnd w:id="6"/>
      <w:r w:rsidDel="00000000" w:rsidR="00000000" w:rsidRPr="00000000">
        <w:rPr>
          <w:rtl w:val="0"/>
        </w:rPr>
        <w:t xml:space="preserve">Personnes exilées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 revendications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Votre position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L’accord systématique du droit d’asile aux personnes LGBTI exilées fuyant leur pays à raison de leur sexe, orientation sexuelle ou identité de 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fermeture des centres de rétention administrative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cessation des renvois vers le pays d’entrée dans l’Union Européenne et abrogation des accords de Dublin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L’allongement des délais de recours lors de la procédure, l’arrêt des audiences par visio-conférence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L’interdiction des tests osseux visant à déterminer la minorité des personnes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respect du droit au séjour pour raison de santé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 hébergement et une allocation assurées pour toute personne en demande d’asile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Style w:val="Heading2"/>
        <w:spacing w:after="0" w:lineRule="auto"/>
        <w:rPr/>
      </w:pPr>
      <w:bookmarkStart w:colFirst="0" w:colLast="0" w:name="_b3zfd97x1veg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rPr/>
      </w:pPr>
      <w:bookmarkStart w:colFirst="0" w:colLast="0" w:name="_kopv4bvdmj31" w:id="8"/>
      <w:bookmarkEnd w:id="8"/>
      <w:r w:rsidDel="00000000" w:rsidR="00000000" w:rsidRPr="00000000">
        <w:rPr>
          <w:rtl w:val="0"/>
        </w:rPr>
        <w:t xml:space="preserve">Santé</w:t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 revendications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Votre position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Des études épidémiologiques et des actions de prévention à destination des femmes ayant des relations sexuelles avec d’autres femmes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 l’information, des campagnes régulières et pertinentes sur les IST et les différents moyens de prévention en direction des populations LGBTI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 accès au dépistage des différentes IST gratuit et garanti sur tous les territoires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garantie universelle d’accès aux soins et aux traitements pour les personnes séropositives au VIH ou aux hépatites, y compris pour les personnes incarcérées, migrantes et travailleuses du sexe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 accès effectif et gratuit aux différents moyens de prévention des IST  (Infections Sexuellement Transmissibles), du VIH et des hépatites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La vaccination contre le papillomavirus, effective et remboursée, pour tou⋅te⋅s les jeunes, sans distinction de sexe, genre et orientation sexuelle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possibilité pour les associations de pratiquer le test rapide de dépistage de la syphilis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88" w:lineRule="auto"/>
        <w:rPr>
          <w:rFonts w:ascii="Verdana" w:cs="Verdana" w:eastAsia="Verdana" w:hAnsi="Verdana"/>
          <w:color w:val="39383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/>
      </w:pPr>
      <w:bookmarkStart w:colFirst="0" w:colLast="0" w:name="_bkyrpsgaqcg6" w:id="9"/>
      <w:bookmarkEnd w:id="9"/>
      <w:r w:rsidDel="00000000" w:rsidR="00000000" w:rsidRPr="00000000">
        <w:rPr>
          <w:rtl w:val="0"/>
        </w:rPr>
        <w:t xml:space="preserve">Sexe et identité de genre</w:t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 revendications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Votre position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Verdana" w:cs="Verdana" w:eastAsia="Verdana" w:hAnsi="Verdana"/>
                <w:color w:val="393839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Le changement de la mention du sexe et du prénom à l’état civil libre, gratuit sur simple déclaration en mairie, sans expertises et sans stérilisation forcée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libre choix de son parcours de transition et ses médecins, conformément à la loi, et l’abolition des protocoles inhumains encore existants, notamment ceux de la SoFECT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L’abolition du système de genre administratif, dont la mention de sexe à l’état civil, le numéro INSEE et leurs mentions sur les papiers d’identité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respect du droit à la vie privée des personnes transgenres et intersexes dans tous les aspects de la vie sociale : civilité et prénom d’usage, mentions de modification de l’état civil, dossiers médicaux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Des études épidémiologiques sur les personnes intersexes d’une part et sur les personnes transgenres d’autre part afin d’identifier et de prendre en compte leurs spécificités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L’indemnisation des personnes intersexes victimes de mutilations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88" w:lineRule="auto"/>
        <w:rPr>
          <w:rFonts w:ascii="Verdana" w:cs="Verdana" w:eastAsia="Verdana" w:hAnsi="Verdana"/>
          <w:color w:val="39383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bookmarkStart w:colFirst="0" w:colLast="0" w:name="_fzlzkx163xfp" w:id="10"/>
      <w:bookmarkEnd w:id="10"/>
      <w:r w:rsidDel="00000000" w:rsidR="00000000" w:rsidRPr="00000000">
        <w:rPr>
          <w:rtl w:val="0"/>
        </w:rPr>
        <w:t xml:space="preserve">Lutte contre les discriminations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color w:val="39383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 revendications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Votre position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 engagement des pouvoirs publics pour prévenir le mal-être et et le suicide  des personnes LGBTI (Lesbienne, Gay, Bi, Transgenre, Intersexe), les discriminations les atteignant ; l’interdiction des thérapies de conversion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L’abrogation de la loi de pénalisation des clients de travailleur·se·s du sexe et des arrêtés municipaux ou préfectoraux réprimant la prostitution et mettant en danger les travailleur·se·s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Un engagement des pouvoirs publics dans la lutte contre la sérophobie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Une éducation populaire, dès l’école, à l’égalité et la diversité des sexes, identités de genre et relations affectives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mise en place d’actions concrètes face à toutes les formes de harcèlement et de violences, notamment en milieu scolaire, au travail, sur Internet et dans l’espace public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révision des critères d’exclusion du don de moëlle osseuse, actuellement fermé aux hommes ayant ou ayant eu des relations sexuelles avec des hommes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 moyens matériels, humains et financiers aux associations de défense des droits humains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L’intégration des différentes sexualités, sexes et identités de genre dans les programmes de formations initiale et continue (enseignement, santé, administrations, forces de l’ordre,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color w:val="393839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color w:val="39383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Hammersmith One">
    <w:embedRegular w:fontKey="{00000000-0000-0000-0000-000000000000}" r:id="rId1" w:subsetted="0"/>
  </w:font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ato Black">
    <w:embedBold w:fontKey="{00000000-0000-0000-0000-000000000000}" r:id="rId6" w:subsetted="0"/>
    <w:embedBoldItalic w:fontKey="{00000000-0000-0000-0000-000000000000}" r:id="rId7" w:subsetted="0"/>
  </w:font>
  <w:font w:name="Passion One">
    <w:embedRegular w:fontKey="{00000000-0000-0000-0000-000000000000}" r:id="rId8" w:subsetted="0"/>
    <w:embedBold w:fontKey="{00000000-0000-0000-0000-000000000000}" r:id="rId9" w:subsetted="0"/>
  </w:font>
  <w:font w:name="Nova Mono">
    <w:embedRegular w:fontKey="{00000000-0000-0000-0000-000000000000}" r:id="rId10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Consultables sur le site Web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200" w:lineRule="auto"/>
      <w:jc w:val="center"/>
      <w:rPr/>
    </w:pPr>
    <w:r w:rsidDel="00000000" w:rsidR="00000000" w:rsidRPr="00000000">
      <w:rPr>
        <w:rtl w:val="0"/>
      </w:rPr>
      <w:t xml:space="preserve">Iskis - Centre LGBTI+ de Rennes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4"/>
        <w:szCs w:val="24"/>
        <w:lang w:val="en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Hammersmith One" w:cs="Hammersmith One" w:eastAsia="Hammersmith One" w:hAnsi="Hammersmith One"/>
      <w:sz w:val="72"/>
      <w:szCs w:val="72"/>
    </w:rPr>
  </w:style>
  <w:style w:type="paragraph" w:styleId="Heading2">
    <w:name w:val="heading 2"/>
    <w:basedOn w:val="Normal"/>
    <w:next w:val="Normal"/>
    <w:pPr>
      <w:spacing w:after="200" w:before="200" w:line="240" w:lineRule="auto"/>
    </w:pPr>
    <w:rPr>
      <w:rFonts w:ascii="Lato Black" w:cs="Lato Black" w:eastAsia="Lato Black" w:hAnsi="Lato Black"/>
      <w:sz w:val="40"/>
      <w:szCs w:val="40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spacing w:before="200" w:lineRule="auto"/>
    </w:pPr>
    <w:rPr>
      <w:b w:val="1"/>
      <w:color w:val="66666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Hammersmith One" w:cs="Hammersmith One" w:eastAsia="Hammersmith One" w:hAnsi="Hammersmith One"/>
      <w:b w:val="1"/>
      <w:sz w:val="96"/>
      <w:szCs w:val="96"/>
    </w:rPr>
  </w:style>
  <w:style w:type="paragraph" w:styleId="Subtitle">
    <w:name w:val="Subtitle"/>
    <w:basedOn w:val="Normal"/>
    <w:next w:val="Normal"/>
    <w:pPr>
      <w:spacing w:after="200" w:lineRule="auto"/>
      <w:jc w:val="center"/>
    </w:pPr>
    <w:rPr>
      <w:rFonts w:ascii="Lato Black" w:cs="Lato Black" w:eastAsia="Lato Black" w:hAnsi="Lato Black"/>
      <w:color w:val="666666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mmersmithOne-regular.ttf"/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10" Type="http://schemas.openxmlformats.org/officeDocument/2006/relationships/font" Target="fonts/NovaMono-regular.ttf"/><Relationship Id="rId9" Type="http://schemas.openxmlformats.org/officeDocument/2006/relationships/font" Target="fonts/PassionOne-bold.ttf"/><Relationship Id="rId5" Type="http://schemas.openxmlformats.org/officeDocument/2006/relationships/font" Target="fonts/Lato-boldItalic.ttf"/><Relationship Id="rId6" Type="http://schemas.openxmlformats.org/officeDocument/2006/relationships/font" Target="fonts/LatoBlack-bold.ttf"/><Relationship Id="rId7" Type="http://schemas.openxmlformats.org/officeDocument/2006/relationships/font" Target="fonts/LatoBlack-boldItalic.ttf"/><Relationship Id="rId8" Type="http://schemas.openxmlformats.org/officeDocument/2006/relationships/font" Target="fonts/Passion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